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8.2.1 (Apache licensed) using REFERENCE JAXB in Debian Java 11.0.29 on Linux -->
    <w:p>
      <w:pPr>
        <w:spacing w:before="0" w:after="0"/>
        <w:ind w:left="120"/>
        <w:jc w:val="left"/>
      </w:pPr>
    </w:p>
    <w:p>
      <w:pPr>
        <w:spacing w:before="0" w:after="0"/>
        <w:ind w:left="120"/>
        <w:jc w:val="center"/>
      </w:pPr>
      <w:r>
        <w:rPr>
          <w:b w:val="false"/>
          <w:i w:val="false"/>
          <w:color w:val="000000"/>
          <w:sz w:val="21"/>
        </w:rPr>
        <w:t>Άρθρο 50 Νόμος 4957/2022</w:t>
      </w:r>
    </w:p>
    <w:p>
      <w:pPr>
        <w:spacing w:before="300" w:after="300"/>
        <w:ind w:left="120"/>
        <w:jc w:val="center"/>
      </w:pPr>
      <w:r>
        <w:rPr>
          <w:b w:val="false"/>
          <w:i w:val="false"/>
          <w:color w:val="000000"/>
          <w:sz w:val="21"/>
        </w:rPr>
        <w:t>Προσωπικό πανεπιστημιακού εργαστηρίου</w:t>
      </w:r>
    </w:p>
    <w:p>
      <w:pPr>
        <w:spacing w:before="300" w:after="300"/>
        <w:ind w:left="120"/>
        <w:jc w:val="left"/>
      </w:pPr>
      <w:r>
        <w:rPr>
          <w:b w:val="false"/>
          <w:i w:val="false"/>
          <w:color w:val="000000"/>
          <w:sz w:val="21"/>
        </w:rPr>
        <w:t xml:space="preserve"> </w:t>
      </w:r>
      <w:r>
        <w:rPr>
          <w:b/>
          <w:i w:val="false"/>
          <w:color w:val="000000"/>
          <w:sz w:val="21"/>
        </w:rPr>
        <w:t>1.</w:t>
      </w:r>
      <w:r>
        <w:rPr>
          <w:b w:val="false"/>
          <w:i w:val="false"/>
          <w:color w:val="000000"/>
          <w:sz w:val="21"/>
        </w:rPr>
        <w:t xml:space="preserve"> Η τοποθέτηση των μελών Διδακτικού Ερευνητικού Προσωπικού (Δ.Ε.Π.), Ειδικού Εκπαιδευτικού Προσωπικού (Ε.Ε.Π.), Εργαστηριακού Διδακτικού Προσωπικού (Ε.ΔΙ.Π.) και Ειδικού Τεχνικού Εργαστηριακού Προσωπικού (Ε.Τ.Ε.Π.) στα πανεπιστημιακά εργαστήρια πραγματοποιείται, μετά από αίτησή τους, ως ακολούθως: </w:t>
      </w:r>
    </w:p>
    <w:p>
      <w:pPr>
        <w:spacing w:before="300" w:after="300"/>
        <w:ind w:left="120"/>
        <w:jc w:val="left"/>
      </w:pPr>
      <w:r>
        <w:rPr>
          <w:b w:val="false"/>
          <w:i w:val="false"/>
          <w:color w:val="000000"/>
          <w:sz w:val="21"/>
        </w:rPr>
        <w:t>α) με πράξη του Προέδρου του Τμήματος, κατόπιν απόφασης της Συνέλευσης του Τμήματος και γνώμης της Γενικής Συνέλευσης του Τομέα, αν το πανεπιστημιακό εργαστήριο εντάσσεται σε Τομέα,</w:t>
      </w:r>
    </w:p>
    <w:p>
      <w:pPr>
        <w:spacing w:before="300" w:after="300"/>
        <w:ind w:left="120"/>
        <w:jc w:val="left"/>
      </w:pPr>
      <w:r>
        <w:rPr>
          <w:b w:val="false"/>
          <w:i w:val="false"/>
          <w:color w:val="000000"/>
          <w:sz w:val="21"/>
        </w:rPr>
        <w:t>β) με πράξη του Προέδρου του Τμήματος, κατόπιν απόφασης της Συνέλευσης του Τμήματος, αν το πανεπιστημιακό εργαστήριο εντάσσεται σε Τμήμα,</w:t>
      </w:r>
    </w:p>
    <w:p>
      <w:pPr>
        <w:spacing w:before="300" w:after="300"/>
        <w:ind w:left="120"/>
        <w:jc w:val="left"/>
      </w:pPr>
      <w:r>
        <w:rPr>
          <w:b w:val="false"/>
          <w:i w:val="false"/>
          <w:color w:val="000000"/>
          <w:sz w:val="21"/>
        </w:rPr>
        <w:t>γ) με πράξη του Κοσμήτορα, μετά από απόφαση της Κοσμητείας, αν το πανεπιστημιακό εργαστήριο είναι διεπιστημονικό και εντάσσεται σε Σχολή,</w:t>
      </w:r>
    </w:p>
    <w:p>
      <w:pPr>
        <w:spacing w:before="300" w:after="300"/>
        <w:ind w:left="120"/>
        <w:jc w:val="left"/>
      </w:pPr>
      <w:r>
        <w:rPr>
          <w:b w:val="false"/>
          <w:i w:val="false"/>
          <w:color w:val="000000"/>
          <w:sz w:val="21"/>
        </w:rPr>
        <w:t>δ) με πράξη του Πρύτανη του Ανώτατου Εκπαιδευτικού Ιδρύματος (Α.Ε.Ι.), μετά από απόφαση της Κοσμητείας και γνώμη των Συνελεύσεων των Τμημάτων, αν το πανεπιστημιακό εργαστήριο είναι διεπιστημονικό και εντάσσεται στο Α.Ε.Ι.</w:t>
      </w:r>
    </w:p>
    <w:p>
      <w:pPr>
        <w:spacing w:before="300" w:after="300"/>
        <w:ind w:left="120"/>
        <w:jc w:val="left"/>
      </w:pPr>
      <w:r>
        <w:rPr>
          <w:b w:val="false"/>
          <w:i w:val="false"/>
          <w:color w:val="000000"/>
          <w:sz w:val="21"/>
        </w:rPr>
        <w:t>Οι πράξεις τοποθέτησης σε πανεπιστημιακά εργαστήρια που είναι εγκατεστημένα σε πανεπιστημιακά νοσοκομεία που εμπίπτουν στην αρμοδιότητα του Υπουργείου Παιδείας και Θρησκευμάτων κοινοποιούνται με την επιμέλεια του αρμόδιου οργάνου για την έκδοση της πράξης προς το Διοικητικό Συμβούλιο του νοσοκομείου.</w:t>
      </w:r>
    </w:p>
    <w:p>
      <w:pPr>
        <w:spacing w:before="300" w:after="300"/>
        <w:ind w:left="120"/>
        <w:jc w:val="left"/>
      </w:pPr>
      <w:r>
        <w:rPr>
          <w:b w:val="false"/>
          <w:i w:val="false"/>
          <w:color w:val="000000"/>
          <w:sz w:val="21"/>
        </w:rPr>
        <w:t>Σε περίπτωση πανεπιστημιακού εργαστηρίου ή ειδικής μονάδας αυτού που έχουν εγκατασταθεί σε νοσοκομεία του Εθνικού Συστήματος Υγείας (Ε.Σ.Υ.), η τοποθέτηση εγκρίνεται από το Διοικητικό Συμβούλιο του νοσοκομείου, έπειτα από θετική εισήγηση του επιστημονικού συμβουλίου, με κριτήριο τη συνάφεια της ειδικότητας του τοποθετούμενου με το αντικείμενο του εργαστηρίου ή της μονάδας και τη λειτουργία του νοσοκομείου.</w:t>
      </w:r>
    </w:p>
    <w:p>
      <w:pPr>
        <w:spacing w:before="300" w:after="300"/>
        <w:ind w:left="120"/>
        <w:jc w:val="left"/>
      </w:pPr>
      <w:r>
        <w:rPr>
          <w:b w:val="false"/>
          <w:i w:val="false"/>
          <w:color w:val="000000"/>
          <w:sz w:val="21"/>
        </w:rPr>
        <w:t xml:space="preserve"> </w:t>
      </w:r>
      <w:r>
        <w:rPr>
          <w:b/>
          <w:i w:val="false"/>
          <w:color w:val="000000"/>
          <w:sz w:val="21"/>
        </w:rPr>
        <w:t>2.</w:t>
      </w:r>
      <w:r>
        <w:rPr>
          <w:b w:val="false"/>
          <w:i w:val="false"/>
          <w:color w:val="000000"/>
          <w:sz w:val="21"/>
        </w:rPr>
        <w:t xml:space="preserve"> Τα μέλη Δ.Ε.Π., Ε.Ε.Π., Ε.ΔΙ.Π. και Ε.Τ.Ε.Π. τοποθετούνται μόνο σε ένα (1) πανεπιστημιακό εργαστήριο του Τμήματος στο οποίο ανήκουν ή σε διεπιστημονικό εργαστήριο που συμμετέχει το Τμήμα. Δύνανται να παρέχουν τις υπηρεσίες τους σε περισσότερα από ένα (1) πανεπιστημιακά εργαστήρια του Α.Ε.Ι. σύμφωνα με όσα προβλέπονται στον Πρότυπο Εσωτερικό Κανονισμό λειτουργίας του άρθρου 47. </w:t>
      </w:r>
    </w:p>
    <w:p>
      <w:pPr>
        <w:spacing w:before="300" w:after="300"/>
        <w:ind w:left="120"/>
        <w:jc w:val="left"/>
      </w:pPr>
      <w:r>
        <w:rPr>
          <w:b w:val="false"/>
          <w:i w:val="false"/>
          <w:color w:val="000000"/>
          <w:sz w:val="21"/>
        </w:rPr>
        <w:t xml:space="preserve"> </w:t>
      </w:r>
      <w:r>
        <w:rPr>
          <w:b/>
          <w:i w:val="false"/>
          <w:color w:val="000000"/>
          <w:sz w:val="21"/>
        </w:rPr>
        <w:t>3.</w:t>
      </w:r>
      <w:r>
        <w:rPr>
          <w:b w:val="false"/>
          <w:i w:val="false"/>
          <w:color w:val="000000"/>
          <w:sz w:val="21"/>
        </w:rPr>
        <w:t xml:space="preserve"> Με τη διαδικασία της παρ. 1, τα μέλη Δ.Ε.Π., Ε.Ε.Π., Ε.ΔΙ.Π. και Ε.Τ.Ε.Π. μετακινούνται ή τοποθετούνται σε άλλο πανεπιστημιακό εργαστήριο της ακαδημαϊκής μονάδας όπου υπηρετούν, αν συγχωνευθεί, καταργηθεί ή κατατμηθεί πανεπιστημιακό εργαστήριο ή κατόπιν αιτήματος του ενδιαφερόμενου μέλους Δ.Ε.Π., Ε.Ε.Π., Ε.ΔΙ.Π., Ε.Τ.Ε.Π. </w:t>
      </w:r>
    </w:p>
    <w:p>
      <w:pPr>
        <w:spacing w:before="300" w:after="300"/>
        <w:ind w:left="120"/>
        <w:jc w:val="left"/>
      </w:pPr>
      <w:r>
        <w:rPr>
          <w:b w:val="false"/>
          <w:i w:val="false"/>
          <w:color w:val="000000"/>
          <w:sz w:val="21"/>
        </w:rPr>
        <w:t xml:space="preserve"> </w:t>
      </w:r>
      <w:r>
        <w:rPr>
          <w:b/>
          <w:i w:val="false"/>
          <w:color w:val="000000"/>
          <w:sz w:val="21"/>
        </w:rPr>
        <w:t>4.</w:t>
      </w:r>
      <w:r>
        <w:rPr>
          <w:b w:val="false"/>
          <w:i w:val="false"/>
          <w:color w:val="000000"/>
          <w:sz w:val="21"/>
        </w:rPr>
        <w:t xml:space="preserve"> Στα πανεπιστημιακά εργαστήρια του Α.Ε.Ι. δύναται να τοποθετείται διοικητικό προσωπικό του Α.Ε.Ι., καθώς και να απασχολούνται και οι ακόλουθες κατηγορίες προσωπικού: </w:t>
      </w:r>
    </w:p>
    <w:p>
      <w:pPr>
        <w:spacing w:before="300" w:after="300"/>
        <w:ind w:left="120"/>
        <w:jc w:val="left"/>
      </w:pPr>
      <w:r>
        <w:rPr>
          <w:b w:val="false"/>
          <w:i w:val="false"/>
          <w:color w:val="000000"/>
          <w:sz w:val="21"/>
        </w:rPr>
        <w:t>α) επισκέπτες καθηγητές και επισκέπτες ερευνητές, β) ερευνητές επί συμβάσει, γ) πρόσθετο ερευνητικό, επιστημονικό, διοικητικό, τεχνικό και λοιπό προσωπικό με σύμβαση έργου ή εργασίας ορισμένου χρόνου σε περίπτωση εκτέλεσης έργων/ προγραμμάτων του πανεπιστημιακού εργαστηρίου,</w:t>
      </w:r>
    </w:p>
    <w:p>
      <w:pPr>
        <w:spacing w:before="300" w:after="300"/>
        <w:ind w:left="120"/>
        <w:jc w:val="left"/>
      </w:pPr>
      <w:r>
        <w:rPr>
          <w:b w:val="false"/>
          <w:i w:val="false"/>
          <w:color w:val="000000"/>
          <w:sz w:val="21"/>
        </w:rPr>
        <w:t>δ) προσωπικό του Α.Ε.Ι. για την εκτέλεση πρόσθετου έργου επ’ αμοιβή.</w:t>
      </w:r>
    </w:p>
    <w:p>
      <w:pPr>
        <w:spacing w:before="300" w:after="300"/>
        <w:ind w:left="120"/>
        <w:jc w:val="left"/>
      </w:pPr>
      <w:r>
        <w:rPr>
          <w:b w:val="false"/>
          <w:i w:val="false"/>
          <w:color w:val="000000"/>
          <w:sz w:val="21"/>
        </w:rPr>
        <w:t xml:space="preserve"> </w:t>
      </w:r>
      <w:r>
        <w:rPr>
          <w:b/>
          <w:i w:val="false"/>
          <w:color w:val="000000"/>
          <w:sz w:val="21"/>
        </w:rPr>
        <w:t>5.</w:t>
      </w:r>
      <w:r>
        <w:rPr>
          <w:b w:val="false"/>
          <w:i w:val="false"/>
          <w:color w:val="000000"/>
          <w:sz w:val="21"/>
        </w:rPr>
        <w:t xml:space="preserve"> Η μισθοδοσία του προσωπικού των περ. α) έως δ) της παρ. 4 δεν βαρύνει τον προϋπολογισμό του Α.Ε.Ι. και καλύπτεται αποκλειστικά από πόρους των εργαστηρίων, η διαχείριση των οποίων πραγματοποιείται μέσω του Ειδικού Λογαριασμού Κονδυλίων Έρευνας του Α.Ε.Ι. </w:t>
      </w:r>
    </w:p>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